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w:t>
      </w:r>
      <w:r w:rsidR="00DE5A66" w:rsidRPr="00BF3C7E">
        <w:rPr>
          <w:i/>
          <w:iCs/>
        </w:rPr>
        <w:t>V-shaped supersaturated vapor field</w:t>
      </w:r>
      <w:r w:rsidR="00DE5A66" w:rsidRPr="00BF3C7E">
        <w:rPr>
          <w:i/>
          <w:iCs/>
        </w:rPr>
        <w:t>”</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w:t>
      </w:r>
      <w:r w:rsidR="00DE5A66">
        <w:t xml:space="preserve">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w:t>
      </w:r>
      <w:r w:rsidR="00DE5A66">
        <w:t>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w:t>
      </w:r>
      <w:r>
        <w:t xml:space="preserve">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w:t>
      </w:r>
      <w:r>
        <w:t xml:space="preserve">also </w:t>
      </w:r>
      <w:r>
        <w:t>converges</w:t>
      </w:r>
      <w:r>
        <w:t xml:space="preserve">, also to a </w:t>
      </w:r>
      <w:r>
        <w:t xml:space="preserve">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w:t>
      </w:r>
      <w:r>
        <w:t>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w:t>
      </w:r>
      <w:r>
        <w:t>center,</w:t>
      </w:r>
      <w:r>
        <w:t xml:space="preserve"> which </w:t>
      </w:r>
      <w:r w:rsidR="00A71F86">
        <w:t xml:space="preserve">causes a </w:t>
      </w:r>
      <w:r w:rsidR="00A71F86">
        <w:t xml:space="preserve">reduction in </w:t>
      </w:r>
      <w:r w:rsidR="00A71F86">
        <w:t xml:space="preserve">the </w:t>
      </w:r>
      <w:r w:rsidR="00A71F86">
        <w:t>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-shaped su</w:t>
      </w:r>
      <w:r w:rsidR="00B92B5D" w:rsidRPr="00A71F86">
        <w:rPr>
          <w:i/>
          <w:iCs/>
        </w:rPr>
        <w:t>b</w:t>
      </w:r>
      <w:r w:rsidR="00B92B5D" w:rsidRPr="00A71F86">
        <w:rPr>
          <w:i/>
          <w:iCs/>
        </w:rPr>
        <w:t xml:space="preserve">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w:t>
      </w:r>
      <w:r>
        <w:t xml:space="preserve">expected for ablating </w:t>
      </w:r>
      <w:r>
        <w:t xml:space="preserve">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w:t>
      </w:r>
      <w:r>
        <w:lastRenderedPageBreak/>
        <w:t xml:space="preserve">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xml:space="preserve">, and is overall </w:t>
      </w:r>
      <w:r>
        <w:rPr>
          <w:rFonts w:eastAsiaTheme="minorEastAsia"/>
        </w:rPr>
        <w:t>concave</w:t>
      </w:r>
      <w:r>
        <w:rPr>
          <w:rFonts w:eastAsiaTheme="minorEastAsia"/>
        </w:rPr>
        <w:t>-shaped</w:t>
      </w:r>
      <w:r w:rsidRPr="00BF3C7E">
        <w:rPr>
          <w:rFonts w:eastAsiaTheme="minorEastAsia"/>
        </w:rPr>
        <w:t xml:space="preserve">. </w:t>
      </w:r>
      <w:r>
        <w:rPr>
          <w:rFonts w:eastAsiaTheme="minorEastAsia"/>
        </w:rPr>
        <w:t xml:space="preserve">Faceted </w:t>
      </w:r>
      <w:r>
        <w:rPr>
          <w:rFonts w:eastAsiaTheme="minorEastAsia"/>
        </w:rPr>
        <w:t>ablation</w:t>
      </w:r>
      <w:r>
        <w:rPr>
          <w:rFonts w:eastAsiaTheme="minorEastAsia"/>
        </w:rPr>
        <w:t xml:space="preserve"> is facilitated by </w:t>
      </w:r>
      <w:r>
        <w:t xml:space="preserve">smaller </w:t>
      </w:r>
      <m:oMath>
        <m:r>
          <w:rPr>
            <w:rFonts w:ascii="Cambria Math" w:hAnsi="Cambria Math"/>
          </w:rPr>
          <m:t>λ</m:t>
        </m:r>
      </m:oMath>
      <w:r w:rsidRPr="00BF3C7E">
        <w:rPr>
          <w:rFonts w:eastAsiaTheme="minorEastAsia"/>
        </w:rPr>
        <w:t xml:space="preserve"> </w:t>
      </w:r>
      <w:r>
        <w:t xml:space="preserve">at facet boundaries, which causes </w:t>
      </w:r>
      <w:r>
        <w:t>a reduction</w:t>
      </w:r>
      <w:r>
        <w:t xml:space="preserve"> in </w:t>
      </w:r>
      <w:r>
        <w:t>the ablation rate</w:t>
      </w:r>
      <w:r>
        <w:t xml:space="preserve">, compensating for the </w:t>
      </w:r>
      <w:r>
        <w:t>more extreme</w:t>
      </w:r>
      <w:r>
        <w:t xml:space="preserve"> su</w:t>
      </w:r>
      <w:r>
        <w:t>b</w:t>
      </w:r>
      <w:r>
        <w:t>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w:t>
            </w:r>
            <w:r w:rsidR="001D751E">
              <w:rPr>
                <w:rFonts w:eastAsiaTheme="minorEastAsia"/>
              </w:rPr>
              <w:t xml:space="preserve"> </w:t>
            </w:r>
            <w:r w:rsidR="0089468B">
              <w:rPr>
                <w:rFonts w:eastAsiaTheme="minorEastAsia"/>
              </w:rPr>
              <w:t>thickness of</w:t>
            </w:r>
            <w:r w:rsidR="001D751E">
              <w:rPr>
                <w:rFonts w:eastAsiaTheme="minorEastAsia"/>
              </w:rPr>
              <w:t xml:space="preserve"> the</w:t>
            </w:r>
            <w:r w:rsidR="001D751E">
              <w:rPr>
                <w:rFonts w:eastAsiaTheme="minorEastAsia"/>
              </w:rPr>
              <w:t xml:space="preserv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Bottom</w:t>
            </w:r>
            <w:r w:rsidR="0001327F">
              <w:rPr>
                <w:rFonts w:eastAsiaTheme="minorEastAsia"/>
              </w:rPr>
              <w:t xml:space="preserve">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C33C6"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 xml:space="preserve">the </w:t>
            </w:r>
            <w:r w:rsidR="004833BA">
              <w:rPr>
                <w:rFonts w:eastAsiaTheme="minorEastAsia"/>
              </w:rPr>
              <w:t>V-shaped growing baseline</w:t>
            </w:r>
            <w:r w:rsidR="004833BA">
              <w:rPr>
                <w:rFonts w:eastAsiaTheme="minorEastAsia"/>
              </w:rPr>
              <w:t xml:space="preserve"> </w:t>
            </w:r>
            <w:r w:rsidR="004833BA">
              <w:rPr>
                <w:rFonts w:eastAsiaTheme="minorEastAsia"/>
              </w:rPr>
              <w:t>(see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C33C6"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112352"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w:t>
      </w:r>
      <w:r w:rsidR="003937C6">
        <w:rPr>
          <w:rFonts w:eastAsiaTheme="minorEastAsia"/>
        </w:rPr>
        <w:lastRenderedPageBreak/>
        <w:t xml:space="preserve">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112352"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r>
          <w:rPr>
            <w:rFonts w:ascii="Cambria Math" w:eastAsiaTheme="minorEastAsia"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112352"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r>
                  <w:rPr>
                    <w:rFonts w:ascii="Cambria Math" w:hAnsi="Cambria Math"/>
                  </w:rPr>
                  <m:t>,o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86518D">
        <w:t>three</w:t>
      </w:r>
      <w:r>
        <w:t xml:space="preserve"> questions</w:t>
      </w:r>
      <w:r w:rsidR="0086518D">
        <w:t xml:space="preserve">, with the eventual goal of comparison to the QLC-2 results. </w:t>
      </w:r>
      <w:r w:rsidR="00B363DC">
        <w:t xml:space="preserve"> </w:t>
      </w:r>
      <w:r w:rsidR="0086518D">
        <w:t>F</w:t>
      </w:r>
      <w:r w:rsidR="00213056">
        <w:t>irst</w:t>
      </w:r>
      <w:r w:rsidR="0086518D">
        <w:t>, we examine</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1B1C66">
        <w:t>Several</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E0676C" w:rsidP="00D7299C">
      <w:r>
        <w:t>Second</w:t>
      </w:r>
      <w:r w:rsidR="00D7299C">
        <w:t xml:space="preserve">, </w:t>
      </w:r>
      <w:r>
        <w:t xml:space="preserve">we note that the </w:t>
      </w:r>
      <w:r w:rsidR="00EA5C10">
        <w:t>overall curvature from the</w:t>
      </w:r>
      <w:r w:rsidR="000A3487">
        <w:t xml:space="preserve"> ESEM/GNBF </w:t>
      </w:r>
      <w:r w:rsidR="001B1C66">
        <w:t>height reconstructions</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213056"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E0676C" w:rsidP="00E0676C">
      <w:r>
        <w:t>Thirdly</w:t>
      </w:r>
      <w:r>
        <w:t>, we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mesoscopic</m:t>
            </m:r>
          </m:sub>
        </m:sSub>
      </m:oMath>
      <w:r>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mesoscopic</m:t>
            </m:r>
          </m:sub>
        </m:sSub>
        <m:r>
          <w:rPr>
            <w:rFonts w:ascii="Cambria Math" w:hAnsi="Cambria Math"/>
          </w:rPr>
          <m:t>≈</m:t>
        </m:r>
        <m:r>
          <w:rPr>
            <w:rFonts w:ascii="Cambria Math" w:hAnsi="Cambria Math"/>
          </w:rPr>
          <m:t>10 μm</m:t>
        </m:r>
      </m:oMath>
      <w:r w:rsidR="0079546F">
        <w:rPr>
          <w:rFonts w:eastAsiaTheme="minorEastAsia"/>
        </w:rPr>
        <w:t xml:space="preserve">. </w:t>
      </w:r>
      <w:r w:rsidR="0079546F">
        <w:t>S</w:t>
      </w:r>
      <w:r>
        <w:t xml:space="preserve">imilar lengths appear in the </w:t>
      </w:r>
      <w:r w:rsidR="0079546F">
        <w:t xml:space="preserve">ESEM/GNBF reconstructions of the </w:t>
      </w:r>
      <w:r>
        <w:t>growing crystals</w:t>
      </w:r>
      <w:r w:rsidR="0079546F">
        <w:t xml:space="preserve"> too</w:t>
      </w:r>
      <w:r>
        <w:t xml:space="preserve"> (top three rows).</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mesoscopic</m:t>
            </m:r>
          </m:sub>
        </m:sSub>
      </m:oMath>
      <w:r>
        <w:rPr>
          <w:rFonts w:eastAsiaTheme="minorEastAsia"/>
        </w:rPr>
        <w:t>.</w:t>
      </w:r>
    </w:p>
    <w:p w:rsidR="00E0676C" w:rsidRDefault="00E0676C" w:rsidP="0086518D"/>
    <w:p w:rsidR="00C70DE1" w:rsidRDefault="00E0676C" w:rsidP="00C70DE1">
      <w:r>
        <w:t>Fourth</w:t>
      </w:r>
      <w:r w:rsidR="00C70DE1">
        <w:t xml:space="preserve">, we consider </w:t>
      </w:r>
      <w:r w:rsidR="00C70DE1">
        <w:t>facet resilience</w:t>
      </w:r>
      <w:r w:rsidR="00C70DE1">
        <w:t>. Specifically, we examine the ability of</w:t>
      </w:r>
      <w:r w:rsidR="00C70DE1">
        <w:t xml:space="preserve"> a</w:t>
      </w:r>
      <w:r w:rsidR="00C70DE1">
        <w:t xml:space="preserve"> </w:t>
      </w:r>
      <w:r w:rsidR="00C70DE1">
        <w:t xml:space="preserve">faceted surface, </w:t>
      </w:r>
      <w:r w:rsidR="00C70DE1">
        <w:t>prepared under growth conditions but then subjected to a perturbation that causes</w:t>
      </w:r>
      <w:r w:rsidR="00C70DE1">
        <w:t xml:space="preserve"> roughen</w:t>
      </w:r>
      <w:r w:rsidR="00C70DE1">
        <w:t>ing or distortion,</w:t>
      </w:r>
      <w:r w:rsidR="00C70DE1">
        <w:t xml:space="preserve"> </w:t>
      </w:r>
      <w:r w:rsidR="00C70DE1">
        <w:t>to recover</w:t>
      </w:r>
      <w:r w:rsidR="00C70DE1">
        <w:t xml:space="preserve"> to its initial</w:t>
      </w:r>
      <w:r w:rsidR="00C70DE1">
        <w:t>,</w:t>
      </w:r>
      <w:r w:rsidR="00C70DE1">
        <w:t xml:space="preserve"> smooth</w:t>
      </w:r>
      <w:r w:rsidR="00C70DE1">
        <w:t xml:space="preserve">-appearing </w:t>
      </w:r>
      <w:r w:rsidR="00C70DE1">
        <w:t xml:space="preserve">faceted state </w:t>
      </w:r>
      <w:r w:rsidR="00C70DE1">
        <w:t>when</w:t>
      </w:r>
      <w:r w:rsidR="00C70DE1">
        <w:t xml:space="preserve"> the initial </w:t>
      </w:r>
      <w:r w:rsidR="00C70DE1">
        <w:t xml:space="preserve">growth </w:t>
      </w:r>
      <w:r w:rsidR="00C70DE1">
        <w:t xml:space="preserve">conditions are restored. An example is shown in Fig. </w:t>
      </w:r>
      <w:r>
        <w:t>8</w:t>
      </w:r>
      <w:r w:rsidR="00C70DE1">
        <w:t xml:space="preserve">, in which </w:t>
      </w:r>
      <w:r w:rsidR="00C70DE1">
        <w:t xml:space="preserve">a rough surface is seen to respond to lowered </w:t>
      </w:r>
      <w:r w:rsidR="00C70DE1">
        <w:t>temperature</w:t>
      </w:r>
      <w:r w:rsidR="00C70DE1">
        <w:t xml:space="preserv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Comparisons of QLC-2 with SEM/GNBF observations</w:t>
      </w:r>
    </w:p>
    <w:p w:rsidR="00E0676C" w:rsidRDefault="00E0676C" w:rsidP="00E0676C">
      <w:pPr>
        <w:rPr>
          <w:b/>
          <w:bCs/>
        </w:rPr>
      </w:pPr>
    </w:p>
    <w:p w:rsidR="00112352" w:rsidRDefault="00E0676C" w:rsidP="00112352">
      <w:pPr>
        <w:keepNext/>
        <w:rPr>
          <w:rFonts w:eastAsiaTheme="minorEastAsia"/>
        </w:rPr>
      </w:pPr>
      <w:r>
        <w:t>Regarding</w:t>
      </w:r>
      <w:r>
        <w:t xml:space="preserve"> intrinsic lengths of </w:t>
      </w:r>
      <w:r w:rsidR="0079546F">
        <w:t>ice</w:t>
      </w:r>
      <w:r>
        <w:t xml:space="preserve"> surfaces</w:t>
      </w:r>
      <w:r w:rsidR="0079546F">
        <w:t xml:space="preserve">, </w:t>
      </w:r>
      <w:r w:rsidR="00112352">
        <w:t xml:space="preserve">it is noteworthy </w:t>
      </w:r>
      <w:r w:rsidR="0079546F">
        <w:t>one of t</w:t>
      </w:r>
      <w:r>
        <w:t xml:space="preserve">he </w:t>
      </w:r>
      <w:r>
        <w:t xml:space="preserve">length scales </w:t>
      </w:r>
      <w:r w:rsidRPr="0079546F">
        <w:rPr>
          <w:rFonts w:eastAsiaTheme="minorEastAsia"/>
        </w:rPr>
        <w:t xml:space="preserve">evident </w:t>
      </w:r>
      <w:r w:rsidRPr="0079546F">
        <w:rPr>
          <w:rFonts w:eastAsiaTheme="minorEastAsia"/>
        </w:rPr>
        <w:t>in SEM/GNBF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r>
          <w:rPr>
            <w:rFonts w:ascii="Cambria Math" w:hAnsi="Cambria Math"/>
          </w:rPr>
          <m:t>2 μm</m:t>
        </m:r>
        <m:r>
          <w:rPr>
            <w:rFonts w:ascii="Cambria Math" w:hAnsi="Cambria Math"/>
          </w:rPr>
          <m:t>≈</m:t>
        </m:r>
        <m:r>
          <w:rPr>
            <w:rFonts w:ascii="Cambria Math" w:hAnsi="Cambria Math"/>
          </w:rPr>
          <m:t>10 μm</m:t>
        </m:r>
      </m:oMath>
      <w:r>
        <w:t>)</w:t>
      </w:r>
      <w:r w:rsidR="0079546F">
        <w:t xml:space="preserve"> is of the same order of magnitude </w:t>
      </w:r>
      <w:r w:rsidR="00112352">
        <w:t xml:space="preserve">as that </w:t>
      </w:r>
      <w:r w:rsidR="0079546F">
        <w:t>predicted by</w:t>
      </w:r>
      <w:r w:rsidR="0079546F">
        <w:t xml:space="preserve"> QLC-2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r>
          <w:rPr>
            <w:rFonts w:ascii="Cambria Math" w:hAnsi="Cambria Math"/>
          </w:rPr>
          <m:t>2 μm</m:t>
        </m:r>
      </m:oMath>
      <w:r w:rsidR="0079546F">
        <w:t>)</w:t>
      </w:r>
      <w:r>
        <w:t xml:space="preserve">. On the other hand, the </w:t>
      </w:r>
      <w:r w:rsidR="0079546F" w:rsidRPr="0079546F">
        <w:rPr>
          <w:i/>
          <w:iCs/>
        </w:rPr>
        <w:t>other</w:t>
      </w:r>
      <w:r w:rsidR="0079546F">
        <w:t xml:space="preserve"> length scale deduced from </w:t>
      </w:r>
      <w:r w:rsidR="0079546F" w:rsidRPr="0079546F">
        <w:rPr>
          <w:rFonts w:eastAsiaTheme="minorEastAsia"/>
        </w:rPr>
        <w:t xml:space="preserve">SEM/GNBF </w:t>
      </w:r>
      <w:r w:rsidRPr="0079546F">
        <w:rPr>
          <w:rFonts w:eastAsiaTheme="minorEastAsia"/>
        </w:rPr>
        <w:t>is much smaller</w:t>
      </w:r>
      <w:r w:rsidR="00112352">
        <w:rPr>
          <w:rFonts w:eastAsiaTheme="minorEastAsia"/>
        </w:rPr>
        <w:t xml:space="preserve"> (</w:t>
      </w:r>
      <m:oMath>
        <m:sSub>
          <m:sSubPr>
            <m:ctrlPr>
              <w:rPr>
                <w:rFonts w:ascii="Cambria Math" w:hAnsi="Cambria Math"/>
                <w:i/>
              </w:rPr>
            </m:ctrlPr>
          </m:sSubPr>
          <m:e>
            <m:r>
              <w:rPr>
                <w:rFonts w:ascii="Cambria Math" w:hAnsi="Cambria Math"/>
              </w:rPr>
              <m:t>λ</m:t>
            </m:r>
          </m:e>
          <m:sub>
            <m:r>
              <w:rPr>
                <w:rFonts w:ascii="Cambria Math" w:hAnsi="Cambria Math"/>
              </w:rPr>
              <m:t>molecular</m:t>
            </m:r>
          </m:sub>
        </m:sSub>
        <m:r>
          <w:rPr>
            <w:rFonts w:ascii="Cambria Math" w:hAnsi="Cambria Math"/>
          </w:rPr>
          <m:t>≈0.02-0.2 μm</m:t>
        </m:r>
      </m:oMath>
      <w:r w:rsidR="00112352">
        <w:rPr>
          <w:rFonts w:eastAsiaTheme="minorEastAsia"/>
        </w:rPr>
        <w:t>).</w:t>
      </w:r>
      <w:r w:rsidRPr="0079546F">
        <w:rPr>
          <w:rFonts w:eastAsiaTheme="minorEastAsia"/>
        </w:rPr>
        <w:t xml:space="preserve"> </w:t>
      </w:r>
      <w:r w:rsidR="00112352">
        <w:rPr>
          <w:rFonts w:eastAsiaTheme="minorEastAsia"/>
        </w:rPr>
        <w:t xml:space="preserve">Our hypothesis is that instabilities in the model give rise to instabilities (e.g., roughness) of comparable scale, but that the connection between them must be mediated by a mechanism that is missing from QLC-2. </w:t>
      </w:r>
      <w:r w:rsidR="00112352">
        <w:rPr>
          <w:rFonts w:eastAsiaTheme="minorEastAsia"/>
        </w:rPr>
        <w:t xml:space="preserve">This </w:t>
      </w:r>
      <w:r w:rsidR="00112352">
        <w:rPr>
          <w:rFonts w:eastAsiaTheme="minorEastAsia"/>
        </w:rPr>
        <w:t xml:space="preserve">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666484"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Pr>
          <w:rFonts w:eastAsiaTheme="minorEastAsia"/>
        </w:rPr>
        <w:tab/>
      </w:r>
      <w:r>
        <w:rPr>
          <w:rFonts w:eastAsiaTheme="minorEastAsia"/>
        </w:rPr>
        <w:tab/>
      </w:r>
      <w:r>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Thus, we see that the intrinsic length depends on the square root of the surface diffusivity</w:t>
      </w:r>
      <w:r w:rsidR="00666484">
        <w:rPr>
          <w:rFonts w:eastAsiaTheme="minorEastAsia"/>
        </w:rPr>
        <w:t xml:space="preserve">, which is a hallmark of Turing instability. The connection must be different here, however, since QLC-2 predicts steady states to be traveling wave limit cycles, which are not considered in Turing’s formulation. </w:t>
      </w:r>
      <w:r w:rsidR="00FF56D6">
        <w:rPr>
          <w:rFonts w:eastAsiaTheme="minorEastAsia"/>
        </w:rPr>
        <w:t>This</w:t>
      </w:r>
      <w:r w:rsidR="00FF56D6">
        <w:rPr>
          <w:rFonts w:eastAsiaTheme="minorEastAsia"/>
        </w:rPr>
        <w:t xml:space="preserve"> </w:t>
      </w:r>
      <w:r w:rsidR="00FF56D6">
        <w:rPr>
          <w:rFonts w:eastAsiaTheme="minorEastAsia"/>
        </w:rPr>
        <w:t>hypothesized connection must</w:t>
      </w:r>
      <w:r w:rsidR="00FF56D6">
        <w:rPr>
          <w:rFonts w:eastAsiaTheme="minorEastAsia"/>
        </w:rPr>
        <w:t xml:space="preserve"> </w:t>
      </w:r>
      <w:r w:rsidR="00FF56D6">
        <w:rPr>
          <w:rFonts w:eastAsiaTheme="minorEastAsia"/>
        </w:rPr>
        <w:t>overcome another hurdle as well,</w:t>
      </w:r>
      <w:r w:rsidR="00FF56D6">
        <w:rPr>
          <w:rFonts w:eastAsiaTheme="minorEastAsia"/>
        </w:rPr>
        <w:t xml:space="preserve">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666484" w:rsidP="00666484">
      <w:pPr>
        <w:rPr>
          <w:rFonts w:eastAsiaTheme="minorEastAsia"/>
        </w:rPr>
      </w:pPr>
      <w:r>
        <w:rPr>
          <w:rFonts w:eastAsiaTheme="minorEastAsia"/>
        </w:rPr>
        <w:t>QLC-2</w:t>
      </w:r>
      <w:r>
        <w:rPr>
          <w:rFonts w:eastAsiaTheme="minorEastAsia"/>
        </w:rPr>
        <w:t xml:space="preserve"> predicts a certain resilience to perturbations</w:t>
      </w:r>
      <w:r>
        <w:rPr>
          <w:rFonts w:eastAsiaTheme="minorEastAsia"/>
        </w:rPr>
        <w:t xml:space="preserve"> that is</w:t>
      </w:r>
      <w:r>
        <w:rPr>
          <w:rFonts w:eastAsiaTheme="minorEastAsia"/>
        </w:rPr>
        <w:t xml:space="preserve"> echoed by real ice crystals – in that faceted surfaces that have been disrupted in some way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lastRenderedPageBreak/>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sectPr w:rsidR="002E0F9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72DC" w:rsidRDefault="001B72DC" w:rsidP="001647A8">
      <w:r>
        <w:separator/>
      </w:r>
    </w:p>
  </w:endnote>
  <w:endnote w:type="continuationSeparator" w:id="0">
    <w:p w:rsidR="001B72DC" w:rsidRDefault="001B72DC"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72DC" w:rsidRDefault="001B72DC" w:rsidP="001647A8">
      <w:r>
        <w:separator/>
      </w:r>
    </w:p>
  </w:footnote>
  <w:footnote w:type="continuationSeparator" w:id="0">
    <w:p w:rsidR="001B72DC" w:rsidRDefault="001B72DC"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B72DC"/>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200523"/>
    <w:rsid w:val="00202630"/>
    <w:rsid w:val="002070C6"/>
    <w:rsid w:val="00212494"/>
    <w:rsid w:val="002124BD"/>
    <w:rsid w:val="00212DBC"/>
    <w:rsid w:val="00213056"/>
    <w:rsid w:val="002140FA"/>
    <w:rsid w:val="0021470F"/>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D9D6"/>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23</Pages>
  <Words>11671</Words>
  <Characters>66531</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16</cp:revision>
  <cp:lastPrinted>2024-03-11T17:46:00Z</cp:lastPrinted>
  <dcterms:created xsi:type="dcterms:W3CDTF">2024-03-12T17:01:00Z</dcterms:created>
  <dcterms:modified xsi:type="dcterms:W3CDTF">2024-03-12T19:43:00Z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